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5943599" cy="23812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599" cy="23812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2.0123291015625" w:line="240" w:lineRule="auto"/>
        <w:ind w:left="0" w:right="0" w:firstLine="0"/>
        <w:jc w:val="center"/>
        <w:rPr>
          <w:rFonts w:ascii="Century Gothic" w:cs="Century Gothic" w:eastAsia="Century Gothic" w:hAnsi="Century Gothic"/>
          <w:b w:val="1"/>
          <w:bCs w:val="1"/>
          <w:i w:val="0"/>
          <w:iCs w:val="0"/>
          <w:smallCaps w:val="0"/>
          <w:strike w:val="0"/>
          <w:color w:val="000000"/>
          <w:sz w:val="52"/>
          <w:szCs w:val="5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52"/>
          <w:szCs w:val="52"/>
          <w:u w:val="none"/>
          <w:shd w:fill="auto" w:val="clear"/>
          <w:vertAlign w:val="baseline"/>
          <w:rtl w:val="0"/>
        </w:rPr>
        <w:t xml:space="preserve">Access and Storage of Information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9.9191284179688" w:line="240" w:lineRule="auto"/>
        <w:ind w:left="19.199981689453125"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Reviewed: Ju</w:t>
      </w:r>
      <w:r w:rsidDel="00000000" w:rsidR="00000000" w:rsidRPr="00000000">
        <w:rPr>
          <w:rFonts w:ascii="Century Gothic" w:cs="Century Gothic" w:eastAsia="Century Gothic" w:hAnsi="Century Gothic"/>
          <w:b w:val="1"/>
          <w:bCs w:val="1"/>
          <w:sz w:val="24"/>
          <w:szCs w:val="24"/>
          <w:rtl w:val="0"/>
        </w:rPr>
        <w:t xml:space="preserve">ly</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 202</w:t>
      </w:r>
      <w:r w:rsidDel="00000000" w:rsidR="00000000" w:rsidRPr="00000000">
        <w:rPr>
          <w:rFonts w:ascii="Century Gothic" w:cs="Century Gothic" w:eastAsia="Century Gothic" w:hAnsi="Century Gothic"/>
          <w:b w:val="1"/>
          <w:bCs w:val="1"/>
          <w:sz w:val="24"/>
          <w:szCs w:val="24"/>
          <w:rtl w:val="0"/>
        </w:rPr>
        <w:t xml:space="preserve">6</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22607421875" w:line="240" w:lineRule="auto"/>
        <w:ind w:left="0" w:right="0" w:firstLine="0"/>
        <w:jc w:val="left"/>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To be reviewed: Ju</w:t>
      </w:r>
      <w:r w:rsidDel="00000000" w:rsidR="00000000" w:rsidRPr="00000000">
        <w:rPr>
          <w:rFonts w:ascii="Century Gothic" w:cs="Century Gothic" w:eastAsia="Century Gothic" w:hAnsi="Century Gothic"/>
          <w:b w:val="1"/>
          <w:bCs w:val="1"/>
          <w:sz w:val="24"/>
          <w:szCs w:val="24"/>
          <w:rtl w:val="0"/>
        </w:rPr>
        <w:t xml:space="preserve">ly</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 202</w:t>
      </w:r>
      <w:r w:rsidDel="00000000" w:rsidR="00000000" w:rsidRPr="00000000">
        <w:rPr>
          <w:rFonts w:ascii="Century Gothic" w:cs="Century Gothic" w:eastAsia="Century Gothic" w:hAnsi="Century Gothic"/>
          <w:b w:val="1"/>
          <w:bCs w:val="1"/>
          <w:sz w:val="24"/>
          <w:szCs w:val="24"/>
          <w:rtl w:val="0"/>
        </w:rPr>
        <w:t xml:space="preserve">8</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22607421875" w:line="240" w:lineRule="auto"/>
        <w:ind w:left="0" w:right="0" w:firstLine="0"/>
        <w:jc w:val="left"/>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22607421875" w:line="240" w:lineRule="auto"/>
        <w:ind w:left="0" w:right="0" w:firstLine="0"/>
        <w:jc w:val="left"/>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22607421875" w:line="240" w:lineRule="auto"/>
        <w:ind w:left="0" w:right="0" w:firstLine="0"/>
        <w:jc w:val="left"/>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22607421875" w:line="240" w:lineRule="auto"/>
        <w:ind w:left="0" w:right="0" w:firstLine="0"/>
        <w:jc w:val="left"/>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22607421875" w:line="240" w:lineRule="auto"/>
        <w:ind w:left="0" w:right="0" w:firstLine="0"/>
        <w:jc w:val="left"/>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22607421875" w:line="240" w:lineRule="auto"/>
        <w:ind w:left="0" w:right="0" w:firstLine="0"/>
        <w:jc w:val="left"/>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19970703125" w:right="0" w:firstLine="0"/>
        <w:jc w:val="left"/>
        <w:rPr>
          <w:rFonts w:ascii="Gill Sans" w:cs="Gill Sans" w:eastAsia="Gill Sans" w:hAnsi="Gill Sans"/>
          <w:sz w:val="14"/>
          <w:szCs w:val="14"/>
        </w:rPr>
      </w:pPr>
      <w:r w:rsidDel="00000000" w:rsidR="00000000" w:rsidRPr="00000000">
        <w:rPr>
          <w:rFonts w:ascii="Gill Sans" w:cs="Gill Sans" w:eastAsia="Gill Sans" w:hAnsi="Gill Sans"/>
          <w:b w:val="0"/>
          <w:bCs w:val="0"/>
          <w:i w:val="0"/>
          <w:iCs w:val="0"/>
          <w:smallCaps w:val="0"/>
          <w:strike w:val="0"/>
          <w:color w:val="000000"/>
          <w:sz w:val="14"/>
          <w:szCs w:val="14"/>
          <w:u w:val="none"/>
          <w:shd w:fill="auto" w:val="clear"/>
          <w:vertAlign w:val="baseline"/>
          <w:rtl w:val="0"/>
        </w:rPr>
        <w:t xml:space="preserve">Company Reg.No. 08812259 Registered Office: Brooke Road, Walthamstow, London E17 9HJ Charity Reg. No:1157645 </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19970703125"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We, at The Little Learner’s Nursery Group, believe that an open access policy is the best way of encouraging participation.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94384765625" w:line="428.2954216003418" w:lineRule="auto"/>
        <w:ind w:left="7.919921875" w:right="6.243896484375" w:firstLine="10.319976806640625"/>
        <w:jc w:val="both"/>
        <w:rPr>
          <w:rFonts w:ascii="Century Gothic" w:cs="Century Gothic" w:eastAsia="Century Gothic" w:hAnsi="Century Gothic"/>
          <w:b w:val="0"/>
          <w:bCs w:val="0"/>
          <w:i w:val="1"/>
          <w:iCs w:val="1"/>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Parents are welcome to view the policies and procedures file, which governs the way in which the nursery operates. These can be viewed at any time when the nursery is open, simply by asking the nursery manager or by accessing the nursery website</w:t>
      </w:r>
      <w:r w:rsidDel="00000000" w:rsidR="00000000" w:rsidRPr="00000000">
        <w:rPr>
          <w:rFonts w:ascii="Century Gothic" w:cs="Century Gothic" w:eastAsia="Century Gothic" w:hAnsi="Century Gothic"/>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9456787109375" w:line="428.2954216003418" w:lineRule="auto"/>
        <w:ind w:left="7.43988037109375" w:right="0.494384765625" w:firstLine="10.80001831054687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Parents are also welcome to see and contribute to all the records that are kept on their child; however, the nursery will adhere to Data Protection Laws.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9444580078125" w:line="428.2954216003418" w:lineRule="auto"/>
        <w:ind w:left="1.199951171875" w:right="4.794921875" w:hanging="2.39990234375"/>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The nursery ensures that it is registered in regard to data protection and a copy of the certificate can be viewed in the school office. All parent, child and staff information is stored securely according to Data Protection registration including details, permissions, certificates and photographic images.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9462890625" w:line="428.2954216003418" w:lineRule="auto"/>
        <w:ind w:left="15.5999755859375" w:right="7.725830078125" w:hanging="14.400024414062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The nursery’s records and documentation are kept and stored in accordance </w:t>
      </w:r>
      <w:r w:rsidDel="00000000" w:rsidR="00000000" w:rsidRPr="00000000">
        <w:rPr>
          <w:rFonts w:ascii="Century Gothic" w:cs="Century Gothic" w:eastAsia="Century Gothic" w:hAnsi="Century Gothic"/>
          <w:sz w:val="24"/>
          <w:szCs w:val="24"/>
          <w:rtl w:val="0"/>
        </w:rPr>
        <w:t xml:space="preserve">with the</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minimum legislative archiving time.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78338623046875" w:line="240" w:lineRule="auto"/>
        <w:ind w:left="3.119964599609375"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highlight w:val="white"/>
          <w:u w:val="none"/>
          <w:vertAlign w:val="baseline"/>
          <w:rtl w:val="0"/>
        </w:rPr>
        <w:t xml:space="preserve">Admissions information – 3 years after the child leaves</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0802001953125" w:line="240" w:lineRule="auto"/>
        <w:ind w:left="3.119964599609375" w:right="0" w:firstLine="0"/>
        <w:jc w:val="left"/>
        <w:rPr>
          <w:rFonts w:ascii="Century Gothic" w:cs="Century Gothic" w:eastAsia="Century Gothic" w:hAnsi="Century Gothic"/>
          <w:b w:val="0"/>
          <w:bCs w:val="0"/>
          <w:i w:val="0"/>
          <w:iCs w:val="0"/>
          <w:smallCaps w:val="0"/>
          <w:strike w:val="0"/>
          <w:color w:val="000000"/>
          <w:sz w:val="24"/>
          <w:szCs w:val="24"/>
          <w:u w:val="none"/>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vertAlign w:val="baseline"/>
          <w:rtl w:val="0"/>
        </w:rPr>
        <w:t xml:space="preserve">Accident and Incident forms – 3 years after the child leaves</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0802001953125" w:line="240" w:lineRule="auto"/>
        <w:ind w:left="10.319976806640625"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highlight w:val="white"/>
          <w:u w:val="none"/>
          <w:vertAlign w:val="baseline"/>
          <w:rtl w:val="0"/>
        </w:rPr>
        <w:t xml:space="preserve">Child Protection and Senco Information – 25 years</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0802001953125" w:line="240" w:lineRule="auto"/>
        <w:ind w:left="3.119964599609375"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All personal information will be shredded</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0802001953125" w:line="240" w:lineRule="auto"/>
        <w:ind w:left="3.119964599609375"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This will be reviewed annually and amended according to any change in</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law/legislation.</w:t>
      </w:r>
    </w:p>
    <w:sectPr>
      <w:pgSz w:h="15840" w:w="12240" w:orient="portrait"/>
      <w:pgMar w:bottom="1938.138427734375" w:top="1730.494384765625" w:left="1442.6400756835938" w:right="804.89257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Gill San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