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6686"/>
        <w:gridCol w:w="1985"/>
      </w:tblGrid>
      <w:tr w:rsidR="006F299A" w:rsidTr="006F299A">
        <w:tc>
          <w:tcPr>
            <w:tcW w:w="1927" w:type="dxa"/>
            <w:vMerge w:val="restart"/>
          </w:tcPr>
          <w:p w:rsidR="006F299A" w:rsidRDefault="006F299A" w:rsidP="006F299A">
            <w:pPr>
              <w:jc w:val="both"/>
            </w:pPr>
          </w:p>
        </w:tc>
        <w:tc>
          <w:tcPr>
            <w:tcW w:w="6686" w:type="dxa"/>
          </w:tcPr>
          <w:p w:rsidR="006F299A" w:rsidRDefault="007024B9" w:rsidP="007024B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31882" cy="1053710"/>
                  <wp:effectExtent l="0" t="0" r="0" b="0"/>
                  <wp:docPr id="1" name="Picture 1" descr="N:\little learner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:\little learner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899" cy="1053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</w:tcPr>
          <w:p w:rsidR="006F299A" w:rsidRDefault="006F299A" w:rsidP="006F299A">
            <w:pPr>
              <w:jc w:val="right"/>
            </w:pPr>
          </w:p>
        </w:tc>
      </w:tr>
      <w:tr w:rsidR="006F299A" w:rsidTr="006F299A">
        <w:tc>
          <w:tcPr>
            <w:tcW w:w="1927" w:type="dxa"/>
            <w:vMerge/>
          </w:tcPr>
          <w:p w:rsidR="006F299A" w:rsidRDefault="006F299A"/>
        </w:tc>
        <w:tc>
          <w:tcPr>
            <w:tcW w:w="6686" w:type="dxa"/>
          </w:tcPr>
          <w:p w:rsidR="006F299A" w:rsidRPr="006F299A" w:rsidRDefault="006F299A" w:rsidP="006F299A">
            <w:pPr>
              <w:pStyle w:val="Header"/>
              <w:jc w:val="center"/>
              <w:rPr>
                <w:color w:val="0070C0"/>
              </w:rPr>
            </w:pPr>
          </w:p>
        </w:tc>
        <w:tc>
          <w:tcPr>
            <w:tcW w:w="1985" w:type="dxa"/>
            <w:vMerge/>
          </w:tcPr>
          <w:p w:rsidR="006F299A" w:rsidRDefault="006F299A"/>
        </w:tc>
      </w:tr>
    </w:tbl>
    <w:p w:rsidR="00F30EE4" w:rsidRDefault="00F30EE4"/>
    <w:p w:rsidR="00615C2B" w:rsidRPr="009223FE" w:rsidRDefault="00615C2B" w:rsidP="00615C2B">
      <w:pPr>
        <w:rPr>
          <w:rFonts w:ascii="Comic Sans MS" w:hAnsi="Comic Sans MS"/>
          <w:sz w:val="24"/>
          <w:szCs w:val="24"/>
        </w:rPr>
      </w:pPr>
      <w:r w:rsidRPr="009223FE">
        <w:rPr>
          <w:rFonts w:ascii="Comic Sans MS" w:hAnsi="Comic Sans MS"/>
          <w:sz w:val="24"/>
          <w:szCs w:val="24"/>
        </w:rPr>
        <w:t>To the parents/carers of______________________________</w:t>
      </w:r>
      <w:r>
        <w:rPr>
          <w:rFonts w:ascii="Comic Sans MS" w:hAnsi="Comic Sans MS"/>
          <w:sz w:val="24"/>
          <w:szCs w:val="24"/>
        </w:rPr>
        <w:t>________________</w:t>
      </w:r>
    </w:p>
    <w:p w:rsidR="00615C2B" w:rsidRDefault="004C5AE9" w:rsidP="00615C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Shortly</w:t>
      </w:r>
      <w:r w:rsidR="00615C2B" w:rsidRPr="009223FE">
        <w:rPr>
          <w:rFonts w:ascii="Comic Sans MS" w:hAnsi="Comic Sans MS"/>
          <w:sz w:val="24"/>
          <w:szCs w:val="24"/>
        </w:rPr>
        <w:t xml:space="preserve"> your child will be one of our ‘Focus Children’. That means we will plan activities around their likes, interests and next step learning needs. </w:t>
      </w:r>
      <w:r w:rsidR="00615C2B">
        <w:rPr>
          <w:rFonts w:ascii="Comic Sans MS" w:hAnsi="Comic Sans MS"/>
          <w:sz w:val="24"/>
          <w:szCs w:val="24"/>
        </w:rPr>
        <w:t>At St Saviour’s Nursery we recognise that parents are the most important educators and you have a wealth of knowledge about your child. Therefore, p</w:t>
      </w:r>
      <w:r w:rsidR="00615C2B" w:rsidRPr="009223FE">
        <w:rPr>
          <w:rFonts w:ascii="Comic Sans MS" w:hAnsi="Comic Sans MS"/>
          <w:sz w:val="24"/>
          <w:szCs w:val="24"/>
        </w:rPr>
        <w:t>lease could you complete the following fo</w:t>
      </w:r>
      <w:r w:rsidR="00615C2B">
        <w:rPr>
          <w:rFonts w:ascii="Comic Sans MS" w:hAnsi="Comic Sans MS"/>
          <w:sz w:val="24"/>
          <w:szCs w:val="24"/>
        </w:rPr>
        <w:t xml:space="preserve">rm to help us plan activities that your child will really </w:t>
      </w:r>
      <w:proofErr w:type="gramStart"/>
      <w:r w:rsidR="00615C2B">
        <w:rPr>
          <w:rFonts w:ascii="Comic Sans MS" w:hAnsi="Comic Sans MS"/>
          <w:sz w:val="24"/>
          <w:szCs w:val="24"/>
        </w:rPr>
        <w:t>enjoy.</w:t>
      </w:r>
      <w:proofErr w:type="gramEnd"/>
      <w:r w:rsidR="00615C2B">
        <w:rPr>
          <w:rFonts w:ascii="Comic Sans MS" w:hAnsi="Comic Sans MS"/>
          <w:sz w:val="24"/>
          <w:szCs w:val="24"/>
        </w:rPr>
        <w:t xml:space="preserve"> Please return this form to us by Thursday at the latest.  Thank you for your continued support.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091"/>
        <w:gridCol w:w="5115"/>
      </w:tblGrid>
      <w:tr w:rsidR="00615C2B" w:rsidTr="00941BA9">
        <w:tc>
          <w:tcPr>
            <w:tcW w:w="5091" w:type="dxa"/>
          </w:tcPr>
          <w:p w:rsidR="00615C2B" w:rsidRDefault="00615C2B" w:rsidP="00941B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Currently my favourite toys and games are...</w:t>
            </w:r>
          </w:p>
          <w:p w:rsidR="00615C2B" w:rsidRDefault="00615C2B" w:rsidP="00941B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15C2B" w:rsidRDefault="00615C2B" w:rsidP="00941B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15C2B" w:rsidRDefault="00615C2B" w:rsidP="00941B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15C2B" w:rsidRDefault="00615C2B" w:rsidP="00941B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15C2B" w:rsidRDefault="00615C2B" w:rsidP="00941B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15C2B" w:rsidRDefault="00615C2B" w:rsidP="00941B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15C2B" w:rsidRDefault="00615C2B" w:rsidP="00941B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15C2B" w:rsidRPr="00E507B0" w:rsidRDefault="00615C2B" w:rsidP="00941B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5" w:type="dxa"/>
          </w:tcPr>
          <w:p w:rsidR="00615C2B" w:rsidRPr="00E507B0" w:rsidRDefault="00615C2B" w:rsidP="00941B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 the moment I am really interested in...</w:t>
            </w:r>
          </w:p>
        </w:tc>
      </w:tr>
      <w:tr w:rsidR="00615C2B" w:rsidTr="00941BA9">
        <w:tc>
          <w:tcPr>
            <w:tcW w:w="5091" w:type="dxa"/>
          </w:tcPr>
          <w:p w:rsidR="00615C2B" w:rsidRDefault="00615C2B" w:rsidP="00941B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favourite story book is...</w:t>
            </w:r>
          </w:p>
          <w:p w:rsidR="00615C2B" w:rsidRDefault="00615C2B" w:rsidP="00941B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15C2B" w:rsidRDefault="00615C2B" w:rsidP="00941B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15C2B" w:rsidRDefault="00615C2B" w:rsidP="00941B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15C2B" w:rsidRDefault="00615C2B" w:rsidP="00941B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15C2B" w:rsidRDefault="00615C2B" w:rsidP="00941B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15C2B" w:rsidRDefault="00615C2B" w:rsidP="00941B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15C2B" w:rsidRDefault="00615C2B" w:rsidP="00941B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15C2B" w:rsidRPr="00E507B0" w:rsidRDefault="00615C2B" w:rsidP="00941B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5" w:type="dxa"/>
          </w:tcPr>
          <w:p w:rsidR="00615C2B" w:rsidRPr="00E507B0" w:rsidRDefault="00615C2B" w:rsidP="00941B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favourite songs or rhymes are...</w:t>
            </w:r>
          </w:p>
        </w:tc>
      </w:tr>
      <w:tr w:rsidR="00615C2B" w:rsidTr="00941BA9">
        <w:tc>
          <w:tcPr>
            <w:tcW w:w="10206" w:type="dxa"/>
            <w:gridSpan w:val="2"/>
          </w:tcPr>
          <w:p w:rsidR="00615C2B" w:rsidRDefault="00615C2B" w:rsidP="00941B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 is something I find quite tricky and would like to practise more at Nursery...</w:t>
            </w:r>
          </w:p>
          <w:p w:rsidR="00615C2B" w:rsidRDefault="00615C2B" w:rsidP="00941B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15C2B" w:rsidRDefault="00615C2B" w:rsidP="00941B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15C2B" w:rsidRDefault="00615C2B" w:rsidP="00941B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615C2B" w:rsidRDefault="00615C2B" w:rsidP="00941B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15C2B" w:rsidRPr="00E507B0" w:rsidRDefault="00615C2B" w:rsidP="00941BA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F299A" w:rsidRDefault="006F299A"/>
    <w:sectPr w:rsidR="006F299A" w:rsidSect="007024B9">
      <w:footerReference w:type="default" r:id="rId8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B9" w:rsidRDefault="007024B9" w:rsidP="007024B9">
      <w:pPr>
        <w:spacing w:after="0" w:line="240" w:lineRule="auto"/>
      </w:pPr>
      <w:r>
        <w:separator/>
      </w:r>
    </w:p>
  </w:endnote>
  <w:endnote w:type="continuationSeparator" w:id="0">
    <w:p w:rsidR="007024B9" w:rsidRDefault="007024B9" w:rsidP="0070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B9" w:rsidRDefault="007024B9" w:rsidP="007024B9">
    <w:pPr>
      <w:pStyle w:val="Footer"/>
      <w:jc w:val="center"/>
      <w:rPr>
        <w:b/>
      </w:rPr>
    </w:pPr>
  </w:p>
  <w:p w:rsidR="007024B9" w:rsidRPr="007024B9" w:rsidRDefault="007024B9" w:rsidP="007024B9">
    <w:pPr>
      <w:pStyle w:val="Footer"/>
      <w:jc w:val="center"/>
      <w:rPr>
        <w:b/>
      </w:rPr>
    </w:pPr>
    <w:r w:rsidRPr="007024B9">
      <w:rPr>
        <w:b/>
      </w:rPr>
      <w:t>Caring              Respect              Nurture             Encourage            Growth         Equality</w:t>
    </w:r>
  </w:p>
  <w:p w:rsidR="007024B9" w:rsidRPr="007024B9" w:rsidRDefault="007024B9" w:rsidP="007024B9">
    <w:pPr>
      <w:pStyle w:val="Footer"/>
      <w:jc w:val="center"/>
    </w:pPr>
  </w:p>
  <w:p w:rsidR="007024B9" w:rsidRDefault="007024B9" w:rsidP="007024B9">
    <w:pPr>
      <w:pStyle w:val="Footer"/>
      <w:jc w:val="center"/>
      <w:rPr>
        <w:sz w:val="16"/>
      </w:rPr>
    </w:pPr>
    <w:r w:rsidRPr="007024B9">
      <mc:AlternateContent>
        <mc:Choice Requires="wps">
          <w:drawing>
            <wp:anchor distT="0" distB="0" distL="114300" distR="114300" simplePos="0" relativeHeight="251659264" behindDoc="0" locked="0" layoutInCell="1" allowOverlap="1" wp14:anchorId="20974E0E" wp14:editId="679A39B6">
              <wp:simplePos x="0" y="0"/>
              <wp:positionH relativeFrom="column">
                <wp:posOffset>-89535</wp:posOffset>
              </wp:positionH>
              <wp:positionV relativeFrom="paragraph">
                <wp:posOffset>62230</wp:posOffset>
              </wp:positionV>
              <wp:extent cx="6979920" cy="15240"/>
              <wp:effectExtent l="0" t="0" r="11430" b="2286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79920" cy="152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7.05pt;margin-top:4.9pt;width:549.6pt;height:1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" strokecolor="#a5a5a5 [2092]"/>
          </w:pict>
        </mc:Fallback>
      </mc:AlternateContent>
    </w:r>
  </w:p>
  <w:p w:rsidR="007024B9" w:rsidRPr="007024B9" w:rsidRDefault="007024B9" w:rsidP="007024B9">
    <w:pPr>
      <w:pStyle w:val="Footer"/>
      <w:jc w:val="center"/>
      <w:rPr>
        <w:sz w:val="16"/>
      </w:rPr>
    </w:pPr>
    <w:r w:rsidRPr="007024B9">
      <w:rPr>
        <w:sz w:val="16"/>
      </w:rPr>
      <w:t xml:space="preserve">Company </w:t>
    </w:r>
    <w:proofErr w:type="spellStart"/>
    <w:r w:rsidRPr="007024B9">
      <w:rPr>
        <w:sz w:val="16"/>
      </w:rPr>
      <w:t>Reg.No</w:t>
    </w:r>
    <w:proofErr w:type="spellEnd"/>
    <w:r w:rsidRPr="007024B9">
      <w:rPr>
        <w:sz w:val="16"/>
      </w:rPr>
      <w:t xml:space="preserve">. 08812259          </w:t>
    </w:r>
    <w:r>
      <w:rPr>
        <w:sz w:val="16"/>
      </w:rPr>
      <w:t xml:space="preserve">   </w:t>
    </w:r>
    <w:r w:rsidRPr="007024B9">
      <w:rPr>
        <w:sz w:val="16"/>
      </w:rPr>
      <w:t xml:space="preserve"> Registered Office: Brooke Road, Walthamstow, London E17 9HJ                      Charity Reg. No</w:t>
    </w:r>
    <w:proofErr w:type="gramStart"/>
    <w:r w:rsidRPr="007024B9">
      <w:rPr>
        <w:sz w:val="16"/>
      </w:rPr>
      <w:t>:</w:t>
    </w:r>
    <w:r>
      <w:rPr>
        <w:sz w:val="16"/>
      </w:rPr>
      <w:t>1157645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B9" w:rsidRDefault="007024B9" w:rsidP="007024B9">
      <w:pPr>
        <w:spacing w:after="0" w:line="240" w:lineRule="auto"/>
      </w:pPr>
      <w:r>
        <w:separator/>
      </w:r>
    </w:p>
  </w:footnote>
  <w:footnote w:type="continuationSeparator" w:id="0">
    <w:p w:rsidR="007024B9" w:rsidRDefault="007024B9" w:rsidP="007024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9A"/>
    <w:rsid w:val="00301C49"/>
    <w:rsid w:val="004C5AE9"/>
    <w:rsid w:val="00615C2B"/>
    <w:rsid w:val="006F299A"/>
    <w:rsid w:val="007024B9"/>
    <w:rsid w:val="00BB4908"/>
    <w:rsid w:val="00E95B94"/>
    <w:rsid w:val="00F3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9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2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99A"/>
  </w:style>
  <w:style w:type="character" w:styleId="Hyperlink">
    <w:name w:val="Hyperlink"/>
    <w:basedOn w:val="DefaultParagraphFont"/>
    <w:uiPriority w:val="99"/>
    <w:unhideWhenUsed/>
    <w:rsid w:val="006F299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02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9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2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99A"/>
  </w:style>
  <w:style w:type="character" w:styleId="Hyperlink">
    <w:name w:val="Hyperlink"/>
    <w:basedOn w:val="DefaultParagraphFont"/>
    <w:uiPriority w:val="99"/>
    <w:unhideWhenUsed/>
    <w:rsid w:val="006F299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02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daogle</dc:creator>
  <cp:lastModifiedBy>Leann Valiquette</cp:lastModifiedBy>
  <cp:revision>2</cp:revision>
  <cp:lastPrinted>2018-02-13T17:52:00Z</cp:lastPrinted>
  <dcterms:created xsi:type="dcterms:W3CDTF">2018-02-13T17:53:00Z</dcterms:created>
  <dcterms:modified xsi:type="dcterms:W3CDTF">2018-02-13T17:53:00Z</dcterms:modified>
</cp:coreProperties>
</file>